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D5" w:rsidRPr="00025AD5" w:rsidRDefault="00025AD5" w:rsidP="00025AD5">
      <w:pPr>
        <w:shd w:val="clear" w:color="auto" w:fill="FFFFFF"/>
        <w:spacing w:after="0" w:line="525" w:lineRule="atLeast"/>
        <w:outlineLvl w:val="0"/>
        <w:rPr>
          <w:rFonts w:ascii="open_sans_condensedbold" w:eastAsia="Times New Roman" w:hAnsi="open_sans_condensedbold" w:cs="Times New Roman"/>
          <w:color w:val="355377"/>
          <w:spacing w:val="-15"/>
          <w:kern w:val="36"/>
          <w:sz w:val="51"/>
          <w:szCs w:val="51"/>
          <w:lang w:eastAsia="es-ES"/>
        </w:rPr>
      </w:pPr>
      <w:r w:rsidRPr="00025AD5">
        <w:rPr>
          <w:rFonts w:ascii="open_sans_condensedbold" w:eastAsia="Times New Roman" w:hAnsi="open_sans_condensedbold" w:cs="Times New Roman"/>
          <w:color w:val="355377"/>
          <w:spacing w:val="-15"/>
          <w:kern w:val="36"/>
          <w:sz w:val="51"/>
          <w:szCs w:val="51"/>
          <w:lang w:eastAsia="es-ES"/>
        </w:rPr>
        <w:t>¿Es posible utilizar BIZUM para pagar un impuesto?</w:t>
      </w:r>
    </w:p>
    <w:p w:rsidR="00025AD5" w:rsidRPr="00025AD5" w:rsidRDefault="00025AD5" w:rsidP="00025AD5">
      <w:pPr>
        <w:shd w:val="clear" w:color="auto" w:fill="FFFFFF"/>
        <w:spacing w:before="375" w:after="375" w:line="288" w:lineRule="atLeast"/>
        <w:outlineLvl w:val="1"/>
        <w:rPr>
          <w:rFonts w:ascii="open_sans_regular" w:eastAsia="Times New Roman" w:hAnsi="open_sans_regular" w:cs="Times New Roman"/>
          <w:b/>
          <w:bCs/>
          <w:color w:val="355377"/>
          <w:sz w:val="24"/>
          <w:szCs w:val="24"/>
          <w:lang w:eastAsia="es-ES"/>
        </w:rPr>
      </w:pPr>
      <w:r w:rsidRPr="00025AD5">
        <w:rPr>
          <w:rFonts w:ascii="open_sans_regular" w:eastAsia="Times New Roman" w:hAnsi="open_sans_regular" w:cs="Times New Roman"/>
          <w:b/>
          <w:bCs/>
          <w:color w:val="355377"/>
          <w:sz w:val="24"/>
          <w:szCs w:val="24"/>
          <w:lang w:eastAsia="es-ES"/>
        </w:rPr>
        <w:t>Algunas administraciones ya permiten este tipo de pago, equiparable a una transferencia bancaria</w:t>
      </w:r>
    </w:p>
    <w:p w:rsidR="00025AD5" w:rsidRPr="00025AD5" w:rsidRDefault="00025AD5" w:rsidP="00025AD5">
      <w:pPr>
        <w:shd w:val="clear" w:color="auto" w:fill="FFFFFF"/>
        <w:spacing w:after="0" w:line="240" w:lineRule="auto"/>
        <w:jc w:val="center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noProof/>
          <w:color w:val="222222"/>
          <w:sz w:val="23"/>
          <w:szCs w:val="23"/>
          <w:lang w:eastAsia="es-ES"/>
        </w:rPr>
        <w:drawing>
          <wp:inline distT="0" distB="0" distL="0" distR="0" wp14:anchorId="02598706" wp14:editId="11D4B96D">
            <wp:extent cx="5715000" cy="2971800"/>
            <wp:effectExtent l="0" t="0" r="0" b="0"/>
            <wp:docPr id="1" name="Imagen 1" descr="https://noticias.juridicas.com/bitmaps/articulos/164189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icias.juridicas.com/bitmaps/articulos/16418901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D5" w:rsidRPr="00025AD5" w:rsidRDefault="00025AD5" w:rsidP="00025AD5">
      <w:pPr>
        <w:shd w:val="clear" w:color="auto" w:fill="FFFFFF"/>
        <w:spacing w:after="0" w:line="240" w:lineRule="auto"/>
        <w:textAlignment w:val="center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  </w:t>
      </w:r>
    </w:p>
    <w:p w:rsidR="00025AD5" w:rsidRPr="00025AD5" w:rsidRDefault="00025AD5" w:rsidP="00025AD5">
      <w:pPr>
        <w:shd w:val="clear" w:color="auto" w:fill="FFFFFF"/>
        <w:spacing w:line="0" w:lineRule="auto"/>
        <w:rPr>
          <w:rFonts w:ascii="Helvetica" w:eastAsia="Times New Roman" w:hAnsi="Helvetica" w:cs="Times New Roman"/>
          <w:color w:val="FFFFFF"/>
          <w:sz w:val="2"/>
          <w:szCs w:val="2"/>
          <w:lang w:eastAsia="es-ES"/>
        </w:rPr>
      </w:pPr>
      <w:r w:rsidRPr="00025AD5">
        <w:rPr>
          <w:rFonts w:ascii="Helvetica" w:eastAsia="Times New Roman" w:hAnsi="Helvetica" w:cs="Times New Roman"/>
          <w:b/>
          <w:bCs/>
          <w:caps/>
          <w:color w:val="32363B"/>
          <w:sz w:val="17"/>
          <w:szCs w:val="17"/>
          <w:shd w:val="clear" w:color="auto" w:fill="EBEBEB"/>
          <w:lang w:eastAsia="es-ES"/>
        </w:rPr>
        <w:t>25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hyperlink r:id="rId6" w:tgtFrame="_blank" w:history="1">
        <w:r w:rsidRPr="00025AD5">
          <w:rPr>
            <w:rFonts w:ascii="open_sans_regular" w:eastAsia="Times New Roman" w:hAnsi="open_sans_regular" w:cs="Times New Roman"/>
            <w:color w:val="4C6F99"/>
            <w:sz w:val="23"/>
            <w:szCs w:val="23"/>
            <w:u w:val="single"/>
            <w:lang w:eastAsia="es-ES"/>
          </w:rPr>
          <w:t>El Consultor de los Ayuntamientos</w:t>
        </w:r>
      </w:hyperlink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. - ¿Es posible utilizar BIZUM como canal de pago de los tributos? El Real Decreto 203/2021, de 20 de marzo (BOE del 31), por el que se aprueba el Reglamento de actuación y funcionamiento del sector público por medios electrónicos (en adelante, RAFME), llevó a cabo el desarrollo reglamentario de la </w:t>
      </w:r>
      <w:hyperlink r:id="rId7" w:tgtFrame="_blank" w:history="1">
        <w:r w:rsidRPr="00025AD5">
          <w:rPr>
            <w:rFonts w:ascii="open_sans_regular" w:eastAsia="Times New Roman" w:hAnsi="open_sans_regular" w:cs="Times New Roman"/>
            <w:color w:val="4C6F99"/>
            <w:sz w:val="23"/>
            <w:szCs w:val="23"/>
            <w:u w:val="single"/>
            <w:lang w:eastAsia="es-ES"/>
          </w:rPr>
          <w:t>Leyes 39/2015</w:t>
        </w:r>
      </w:hyperlink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 y </w:t>
      </w:r>
      <w:hyperlink r:id="rId8" w:tgtFrame="_blank" w:history="1">
        <w:r w:rsidRPr="00025AD5">
          <w:rPr>
            <w:rFonts w:ascii="open_sans_regular" w:eastAsia="Times New Roman" w:hAnsi="open_sans_regular" w:cs="Times New Roman"/>
            <w:color w:val="4C6F99"/>
            <w:sz w:val="23"/>
            <w:szCs w:val="23"/>
            <w:u w:val="single"/>
            <w:lang w:eastAsia="es-ES"/>
          </w:rPr>
          <w:t>40/2015</w:t>
        </w:r>
      </w:hyperlink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, ambas de 1 de octubre (BOE del 2), y donde se consagra el derecho de las personas a relacionarse por medios electrónicos con la Administración.</w:t>
      </w:r>
    </w:p>
    <w:p w:rsidR="00025AD5" w:rsidRPr="00025AD5" w:rsidRDefault="00025AD5" w:rsidP="00025AD5">
      <w:pPr>
        <w:shd w:val="clear" w:color="auto" w:fill="FFFFFF"/>
        <w:spacing w:before="225" w:after="225" w:line="432" w:lineRule="atLeast"/>
        <w:outlineLvl w:val="1"/>
        <w:rPr>
          <w:rFonts w:ascii="open_sans_condensedbold" w:eastAsia="Times New Roman" w:hAnsi="open_sans_condensedbold" w:cs="Times New Roman"/>
          <w:color w:val="222222"/>
          <w:spacing w:val="-15"/>
          <w:sz w:val="36"/>
          <w:szCs w:val="36"/>
          <w:lang w:eastAsia="es-ES"/>
        </w:rPr>
      </w:pPr>
      <w:r w:rsidRPr="00025AD5">
        <w:rPr>
          <w:rFonts w:ascii="open_sans_condensedbold" w:eastAsia="Times New Roman" w:hAnsi="open_sans_condensedbold" w:cs="Times New Roman"/>
          <w:color w:val="222222"/>
          <w:spacing w:val="-15"/>
          <w:sz w:val="36"/>
          <w:szCs w:val="36"/>
          <w:lang w:eastAsia="es-ES"/>
        </w:rPr>
        <w:t>Qué dice la norma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En el ámbito tributario, la </w:t>
      </w:r>
      <w:hyperlink r:id="rId9" w:tgtFrame="_blank" w:history="1">
        <w:r w:rsidRPr="00025AD5">
          <w:rPr>
            <w:rFonts w:ascii="open_sans_regular" w:eastAsia="Times New Roman" w:hAnsi="open_sans_regular" w:cs="Times New Roman"/>
            <w:color w:val="4C6F99"/>
            <w:sz w:val="23"/>
            <w:szCs w:val="23"/>
            <w:u w:val="single"/>
            <w:lang w:eastAsia="es-ES"/>
          </w:rPr>
          <w:t>Ley 58/2003, de 17 de diciembre (BOE del 18)</w:t>
        </w:r>
      </w:hyperlink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, General Tributaria (en adelante, LGT 2003), ya se recogía la posibilidad de que la actuación administrativa se llevara a cabo de forma automatizada (art. 96.3), con utilización de técnicas y medios electrónicos, informáticos y telemáticos. Esta previsión legal fue desarrollada por los arts. 84 y 85 del Reglamento General de las actuaciones y los procedimientos de gestión e inspección tributaria y de desarrolla de las normas comunes de los procedimientos de aplicación de los tributos, aprobado por el </w:t>
      </w:r>
      <w:hyperlink r:id="rId10" w:tgtFrame="_blank" w:history="1">
        <w:r w:rsidRPr="00025AD5">
          <w:rPr>
            <w:rFonts w:ascii="open_sans_regular" w:eastAsia="Times New Roman" w:hAnsi="open_sans_regular" w:cs="Times New Roman"/>
            <w:color w:val="4C6F99"/>
            <w:sz w:val="23"/>
            <w:szCs w:val="23"/>
            <w:u w:val="single"/>
            <w:lang w:eastAsia="es-ES"/>
          </w:rPr>
          <w:t>Real Decreto 1065/2007, de 27 de julio (BOE de 5 de septiembre).</w:t>
        </w:r>
      </w:hyperlink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Así pues, parece claro que el legislador aboga por reforzar el empleo de las tecnologías de la información y las comunicaciones en las Administraciones Públicas, con el fin de mejorar la eficiencia de su gestión, y así garantizar el derecho y obligaciones de los interesados, que deberán de disponer de servicios digitales fácilmente utilizables y accesibles.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lastRenderedPageBreak/>
        <w:t>El artículo 198 del Texto Refundido de la Ley Reguladora de las Haciendas Locales (TRLRHL), aprobado por </w:t>
      </w:r>
      <w:hyperlink r:id="rId11" w:tgtFrame="_blank" w:history="1">
        <w:r w:rsidRPr="00025AD5">
          <w:rPr>
            <w:rFonts w:ascii="open_sans_regular" w:eastAsia="Times New Roman" w:hAnsi="open_sans_regular" w:cs="Times New Roman"/>
            <w:color w:val="4C6F99"/>
            <w:sz w:val="23"/>
            <w:szCs w:val="23"/>
            <w:u w:val="single"/>
            <w:lang w:eastAsia="es-ES"/>
          </w:rPr>
          <w:t>Real Decreto Legislativo 2/2004, de 5 de marzo (BOE del 9)</w:t>
        </w:r>
      </w:hyperlink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, en relación con los medios de pago establece:</w:t>
      </w:r>
    </w:p>
    <w:p w:rsidR="00025AD5" w:rsidRPr="00025AD5" w:rsidRDefault="00025AD5" w:rsidP="00025AD5">
      <w:pPr>
        <w:shd w:val="clear" w:color="auto" w:fill="F9F9F9"/>
        <w:spacing w:line="240" w:lineRule="auto"/>
        <w:rPr>
          <w:rFonts w:ascii="open_sans_regular" w:eastAsia="Times New Roman" w:hAnsi="open_sans_regular" w:cs="Times New Roman"/>
          <w:b/>
          <w:bCs/>
          <w:color w:val="000000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b/>
          <w:bCs/>
          <w:color w:val="000000"/>
          <w:sz w:val="23"/>
          <w:szCs w:val="23"/>
          <w:lang w:eastAsia="es-ES"/>
        </w:rPr>
        <w:t>«Las entidades locales podrán dictar reglas especiales para el ingreso del producto de la recaudación de los recursos que podrán realizarse en las cajas de efectivo o en las entidades de crédito colaboradoras mediante efectivo, transferencias, cheques o cualquier otro medio o documento de pago, sean o no bancarios, que se establezcan».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El </w:t>
      </w:r>
      <w:hyperlink r:id="rId12" w:tgtFrame="_blank" w:history="1">
        <w:r w:rsidRPr="00025AD5">
          <w:rPr>
            <w:rFonts w:ascii="open_sans_regular" w:eastAsia="Times New Roman" w:hAnsi="open_sans_regular" w:cs="Times New Roman"/>
            <w:color w:val="4C6F99"/>
            <w:sz w:val="23"/>
            <w:szCs w:val="23"/>
            <w:u w:val="single"/>
            <w:lang w:eastAsia="es-ES"/>
          </w:rPr>
          <w:t>Real Decreto 939/2005, de 29 de julio (BOE de 2 de septiembre)</w:t>
        </w:r>
      </w:hyperlink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, por el que se aprueba el </w:t>
      </w:r>
      <w:hyperlink r:id="rId13" w:tgtFrame="_blank" w:history="1">
        <w:r w:rsidRPr="00025AD5">
          <w:rPr>
            <w:rFonts w:ascii="open_sans_regular" w:eastAsia="Times New Roman" w:hAnsi="open_sans_regular" w:cs="Times New Roman"/>
            <w:color w:val="4C6F99"/>
            <w:sz w:val="23"/>
            <w:szCs w:val="23"/>
            <w:u w:val="single"/>
            <w:lang w:eastAsia="es-ES"/>
          </w:rPr>
          <w:t>Reglamento General de Recaudación (en adelante, RGR 2005)</w:t>
        </w:r>
      </w:hyperlink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, en su art. 34, regula los medios y momento de pago en efectivo, detallando que se podrá realizar, además de en efectivo, por alguno de los siguientes medios, con los requisitos y condiciones que para cada uno de ellos se establecen en este reglamento y siguiendo los procedimientos que se dispongan en cada caso:</w:t>
      </w:r>
    </w:p>
    <w:p w:rsidR="00025AD5" w:rsidRPr="00025AD5" w:rsidRDefault="00025AD5" w:rsidP="00025AD5">
      <w:pPr>
        <w:shd w:val="clear" w:color="auto" w:fill="F9F5F5"/>
        <w:spacing w:before="2298" w:line="240" w:lineRule="auto"/>
        <w:ind w:left="3341"/>
        <w:rPr>
          <w:rFonts w:ascii="Roboto Thin" w:eastAsia="Times New Roman" w:hAnsi="Roboto Thin" w:cs="Times New Roman"/>
          <w:color w:val="808080"/>
          <w:sz w:val="23"/>
          <w:szCs w:val="23"/>
          <w:lang w:eastAsia="es-ES"/>
        </w:rPr>
      </w:pPr>
      <w:r w:rsidRPr="00025AD5">
        <w:rPr>
          <w:rFonts w:ascii="Roboto Thin" w:eastAsia="Times New Roman" w:hAnsi="Roboto Thin" w:cs="Times New Roman"/>
          <w:color w:val="808080"/>
          <w:sz w:val="23"/>
          <w:szCs w:val="23"/>
          <w:lang w:eastAsia="es-ES"/>
        </w:rPr>
        <w:t>Thank you for watching</w:t>
      </w:r>
    </w:p>
    <w:p w:rsidR="00025AD5" w:rsidRPr="00025AD5" w:rsidRDefault="00025AD5" w:rsidP="00025A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a) Cheque</w:t>
      </w:r>
    </w:p>
    <w:p w:rsidR="00025AD5" w:rsidRPr="00025AD5" w:rsidRDefault="00025AD5" w:rsidP="00025A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b) Tarjeta de crédito y débito</w:t>
      </w:r>
    </w:p>
    <w:p w:rsidR="00025AD5" w:rsidRPr="00025AD5" w:rsidRDefault="00025AD5" w:rsidP="00025A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c) Transferencia bancaria</w:t>
      </w:r>
    </w:p>
    <w:p w:rsidR="00025AD5" w:rsidRPr="00025AD5" w:rsidRDefault="00025AD5" w:rsidP="00025A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d) Domiciliación bancaria</w:t>
      </w:r>
    </w:p>
    <w:p w:rsidR="00025AD5" w:rsidRPr="00025AD5" w:rsidRDefault="00025AD5" w:rsidP="00025A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e) Cualesquiera otros que se autoricen por el Ministerio de Economía y Hacienda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Añadiendo que será admisible el pago por los medios a los que se refieren los párrafos b), c) y d) en aquellos casos en los que así se establezca expresamente en una norma tributaria.</w:t>
      </w:r>
    </w:p>
    <w:p w:rsidR="00025AD5" w:rsidRPr="00025AD5" w:rsidRDefault="00025AD5" w:rsidP="00025AD5">
      <w:pPr>
        <w:shd w:val="clear" w:color="auto" w:fill="FFFFFF"/>
        <w:spacing w:before="225" w:after="225" w:line="432" w:lineRule="atLeast"/>
        <w:outlineLvl w:val="1"/>
        <w:rPr>
          <w:rFonts w:ascii="open_sans_condensedbold" w:eastAsia="Times New Roman" w:hAnsi="open_sans_condensedbold" w:cs="Times New Roman"/>
          <w:color w:val="222222"/>
          <w:spacing w:val="-15"/>
          <w:sz w:val="36"/>
          <w:szCs w:val="36"/>
          <w:lang w:eastAsia="es-ES"/>
        </w:rPr>
      </w:pPr>
      <w:r w:rsidRPr="00025AD5">
        <w:rPr>
          <w:rFonts w:ascii="open_sans_condensedbold" w:eastAsia="Times New Roman" w:hAnsi="open_sans_condensedbold" w:cs="Times New Roman"/>
          <w:color w:val="222222"/>
          <w:spacing w:val="-15"/>
          <w:sz w:val="36"/>
          <w:szCs w:val="36"/>
          <w:lang w:eastAsia="es-ES"/>
        </w:rPr>
        <w:t>Sí, es posible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Con las nuevas tecnologías, han surgido multitud de alternativas con las que, en nuestro ámbito privado, podemos pagar compras (tanto en comercios físicos como on-line), recibos… incluso entre particulares. Entre estos nuevos medios de pago se puede destacar BIZUM, surgido de la colaboración de la mayoría de las entidades bancarias, y que pretende dar respuesta a las demandas de pago inmediato, sencillo y gratuito, sin tener que pedir su número de cuenta bancaria, siendo suficiente con un número de teléfono.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BIZUM es un proveedor de servicios de pago (PSP). Para el pago por medio de BIZUM </w:t>
      </w:r>
      <w:r w:rsidRPr="00025AD5">
        <w:rPr>
          <w:rFonts w:ascii="open_sans_regular" w:eastAsia="Times New Roman" w:hAnsi="open_sans_regular" w:cs="Times New Roman"/>
          <w:b/>
          <w:bCs/>
          <w:color w:val="222222"/>
          <w:sz w:val="23"/>
          <w:szCs w:val="23"/>
          <w:lang w:eastAsia="es-ES"/>
        </w:rPr>
        <w:t>se vincula una cuenta bancaria a un número de teléfono.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El pago por medio de BIZUM se asimila al de transferencia bancaria, con la singularidad que se realiza desde un dispositivo móvil; vinculándose tanto la cuenta del ordenante como del beneficiario a un número de teléfono móvil.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Para poder realizar la transferencia por medio de BIZUM, se requiere que tanto el ordenante como el beneficiario </w:t>
      </w:r>
      <w:r w:rsidRPr="00025AD5">
        <w:rPr>
          <w:rFonts w:ascii="open_sans_regular" w:eastAsia="Times New Roman" w:hAnsi="open_sans_regular" w:cs="Times New Roman"/>
          <w:b/>
          <w:bCs/>
          <w:color w:val="222222"/>
          <w:sz w:val="23"/>
          <w:szCs w:val="23"/>
          <w:lang w:eastAsia="es-ES"/>
        </w:rPr>
        <w:t>estén dados de alta en el proveedor de servicios de pago y utilizar una aplicación instalada en el móvil de la entidad financiera de la que es cliente.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lastRenderedPageBreak/>
        <w:t>Recientemente, en octubre de 2021, la </w:t>
      </w:r>
      <w:r w:rsidRPr="00025AD5">
        <w:rPr>
          <w:rFonts w:ascii="open_sans_regular" w:eastAsia="Times New Roman" w:hAnsi="open_sans_regular" w:cs="Times New Roman"/>
          <w:b/>
          <w:bCs/>
          <w:color w:val="222222"/>
          <w:sz w:val="23"/>
          <w:szCs w:val="23"/>
          <w:lang w:eastAsia="es-ES"/>
        </w:rPr>
        <w:t>Agencia Tributaria de Catalunya</w:t>
      </w: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 ha incorporado un nuevo canal de pago a través de BIZUM para el pago de tributos. Igualmente, </w:t>
      </w:r>
      <w:r w:rsidRPr="00025AD5">
        <w:rPr>
          <w:rFonts w:ascii="open_sans_regular" w:eastAsia="Times New Roman" w:hAnsi="open_sans_regular" w:cs="Times New Roman"/>
          <w:b/>
          <w:bCs/>
          <w:color w:val="222222"/>
          <w:sz w:val="23"/>
          <w:szCs w:val="23"/>
          <w:lang w:eastAsia="es-ES"/>
        </w:rPr>
        <w:t>Suma Gestión Tributaria</w:t>
      </w: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, organismo de la Diputación Provincial de Alicante también ha incorporado BIZUM como canal de pago.</w:t>
      </w:r>
    </w:p>
    <w:p w:rsidR="00025AD5" w:rsidRPr="00025AD5" w:rsidRDefault="00025AD5" w:rsidP="00025AD5">
      <w:pPr>
        <w:shd w:val="clear" w:color="auto" w:fill="FFFFFF"/>
        <w:spacing w:after="150" w:line="240" w:lineRule="auto"/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</w:pPr>
      <w:r w:rsidRPr="00025AD5">
        <w:rPr>
          <w:rFonts w:ascii="open_sans_regular" w:eastAsia="Times New Roman" w:hAnsi="open_sans_regular" w:cs="Times New Roman"/>
          <w:color w:val="222222"/>
          <w:sz w:val="23"/>
          <w:szCs w:val="23"/>
          <w:lang w:eastAsia="es-ES"/>
        </w:rPr>
        <w:t>De manera que consideramos que los pagos de los tributos y demás ingresos de derecho público se pueden realizar a través de BIZUM. Y se asimila al pago mediante transferencia o con tarjeta en TPV.</w:t>
      </w:r>
    </w:p>
    <w:p w:rsidR="008C7BF5" w:rsidRDefault="008C7BF5">
      <w:bookmarkStart w:id="0" w:name="_GoBack"/>
      <w:bookmarkEnd w:id="0"/>
    </w:p>
    <w:sectPr w:rsidR="008C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_condensedbold">
    <w:altName w:val="Times New Roman"/>
    <w:panose1 w:val="00000000000000000000"/>
    <w:charset w:val="00"/>
    <w:family w:val="roman"/>
    <w:notTrueType/>
    <w:pitch w:val="default"/>
  </w:font>
  <w:font w:name="open_sans_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4030"/>
    <w:multiLevelType w:val="multilevel"/>
    <w:tmpl w:val="4EE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D5"/>
    <w:rsid w:val="00025AD5"/>
    <w:rsid w:val="008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C73A-A4DF-463D-AFE3-9095EDC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509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2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62808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cias.juridicas.com/base_datos/Admin/559952-l-40-2015-de-1-oct-regimen-juridico-del-sector-publico.html" TargetMode="External"/><Relationship Id="rId13" Type="http://schemas.openxmlformats.org/officeDocument/2006/relationships/hyperlink" Target="https://noticias.juridicas.com/base_datos/Fiscal/rd939-20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cias.juridicas.com/base_datos/Admin/559951-l-39-2015-de-1-oct-procedimiento-administrativo-comun-de-las-administraciones.html" TargetMode="External"/><Relationship Id="rId12" Type="http://schemas.openxmlformats.org/officeDocument/2006/relationships/hyperlink" Target="https://noticias.juridicas.com/base_datos/Fiscal/rd939-2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onsultor.laley.es/Content/Documento.aspx?params=H4sIAAAAAAAEAMtMSbENCDIAATMLI0sDtbLUouLM_DxbIwMjQ0MjA2OQQGZapUt-ckhlQaptWmJOcSoAeNGX_DUAAAA=WKE" TargetMode="External"/><Relationship Id="rId11" Type="http://schemas.openxmlformats.org/officeDocument/2006/relationships/hyperlink" Target="https://noticias.juridicas.com/base_datos/Admin/rdleg2-2004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noticias.juridicas.com/base_datos/Fiscal/rd1065-2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cias.juridicas.com/base_datos/Fiscal/l58-20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4802</Characters>
  <Application>Microsoft Office Word</Application>
  <DocSecurity>0</DocSecurity>
  <Lines>40</Lines>
  <Paragraphs>11</Paragraphs>
  <ScaleCrop>false</ScaleCrop>
  <Company>InKulpado666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apuntas</dc:creator>
  <cp:keywords/>
  <dc:description/>
  <cp:lastModifiedBy>apuntas</cp:lastModifiedBy>
  <cp:revision>1</cp:revision>
  <dcterms:created xsi:type="dcterms:W3CDTF">2022-01-12T10:08:00Z</dcterms:created>
  <dcterms:modified xsi:type="dcterms:W3CDTF">2022-01-12T10:09:00Z</dcterms:modified>
</cp:coreProperties>
</file>